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79" w:rsidRDefault="00055C79" w:rsidP="00055C79">
      <w:pPr>
        <w:pStyle w:val="a3"/>
        <w:spacing w:before="89" w:beforeAutospacing="0" w:after="89" w:afterAutospacing="0"/>
        <w:jc w:val="center"/>
        <w:rPr>
          <w:rFonts w:ascii="Verdana" w:hAnsi="Verdana"/>
          <w:color w:val="232323"/>
          <w:sz w:val="21"/>
          <w:szCs w:val="21"/>
        </w:rPr>
      </w:pPr>
      <w:r>
        <w:rPr>
          <w:rStyle w:val="apple-style-span"/>
          <w:rFonts w:ascii="Verdana" w:hAnsi="Verdana"/>
          <w:b/>
          <w:bCs/>
          <w:color w:val="232323"/>
          <w:sz w:val="21"/>
          <w:szCs w:val="21"/>
        </w:rPr>
        <w:t>Гарантии и компенсации за работу с вредными или опасными условиями труда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r>
        <w:rPr>
          <w:rFonts w:ascii="Verdana" w:hAnsi="Verdana"/>
          <w:color w:val="232323"/>
          <w:sz w:val="21"/>
          <w:szCs w:val="21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</w:t>
      </w:r>
      <w:proofErr w:type="gramStart"/>
      <w:r>
        <w:rPr>
          <w:rFonts w:ascii="Verdana" w:hAnsi="Verdana"/>
          <w:color w:val="232323"/>
          <w:sz w:val="21"/>
          <w:szCs w:val="21"/>
        </w:rPr>
        <w:t xml:space="preserve"> .</w:t>
      </w:r>
      <w:proofErr w:type="gramEnd"/>
      <w:r>
        <w:rPr>
          <w:rFonts w:ascii="Verdana" w:hAnsi="Verdana"/>
          <w:color w:val="232323"/>
          <w:sz w:val="21"/>
          <w:szCs w:val="21"/>
        </w:rPr>
        <w:t xml:space="preserve"> А условия труда - совокупность факторов производственной среды и трудового процесса, оказывающих влияние на работоспособность и здоровье работника. Согласно статье 224 ТК РФ отдельным категориям работников работодатель обязан предоставить дополнительные гарантии охраны труда в целях снижения неблагоприятных производственных факторов, которые в настоящее время не могут быть устранены, а также соблюдать установленные для отдельных категорий работников ограничения.</w:t>
      </w:r>
    </w:p>
    <w:p w:rsidR="00055C79" w:rsidRDefault="00055C79" w:rsidP="00055C79">
      <w:pPr>
        <w:pStyle w:val="a3"/>
        <w:spacing w:before="89" w:beforeAutospacing="0" w:after="89" w:afterAutospacing="0"/>
        <w:jc w:val="center"/>
        <w:rPr>
          <w:rFonts w:ascii="Verdana" w:hAnsi="Verdana"/>
          <w:color w:val="232323"/>
          <w:sz w:val="21"/>
          <w:szCs w:val="21"/>
        </w:rPr>
      </w:pPr>
      <w:r>
        <w:rPr>
          <w:rStyle w:val="apple-style-span"/>
          <w:rFonts w:ascii="Verdana" w:hAnsi="Verdana"/>
          <w:b/>
          <w:bCs/>
          <w:color w:val="232323"/>
          <w:sz w:val="21"/>
          <w:szCs w:val="21"/>
        </w:rPr>
        <w:t>Виды компенсаций, предусмотренные российским законодательством работникам, занятым на работах с вредными и (или) опасными условиями труда: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r>
        <w:rPr>
          <w:rFonts w:ascii="Verdana" w:hAnsi="Verdana"/>
          <w:color w:val="232323"/>
          <w:sz w:val="21"/>
          <w:szCs w:val="21"/>
        </w:rPr>
        <w:t>1. Сокращенная продолжительность рабочего времени.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r>
        <w:rPr>
          <w:rFonts w:ascii="Verdana" w:hAnsi="Verdana"/>
          <w:color w:val="232323"/>
          <w:sz w:val="21"/>
          <w:szCs w:val="21"/>
        </w:rPr>
        <w:t>2. Ежегодные дополнительные отпуска.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r>
        <w:rPr>
          <w:rFonts w:ascii="Verdana" w:hAnsi="Verdana"/>
          <w:color w:val="232323"/>
          <w:sz w:val="21"/>
          <w:szCs w:val="21"/>
        </w:rPr>
        <w:t>3. Оплата труда работников в повышенном размере.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r>
        <w:rPr>
          <w:rFonts w:ascii="Verdana" w:hAnsi="Verdana"/>
          <w:color w:val="232323"/>
          <w:sz w:val="21"/>
          <w:szCs w:val="21"/>
        </w:rPr>
        <w:t>4. Молоко или другие равноценные пищевые продукты.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r>
        <w:rPr>
          <w:rFonts w:ascii="Verdana" w:hAnsi="Verdana"/>
          <w:color w:val="232323"/>
          <w:sz w:val="21"/>
          <w:szCs w:val="21"/>
        </w:rPr>
        <w:t>5. Лечебно-профилактическое питание для работников.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r>
        <w:rPr>
          <w:rFonts w:ascii="Verdana" w:hAnsi="Verdana"/>
          <w:color w:val="232323"/>
          <w:sz w:val="21"/>
          <w:szCs w:val="21"/>
        </w:rPr>
        <w:t>6. Досрочное назначение трудовой пенсии для работников.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r>
        <w:rPr>
          <w:rFonts w:ascii="Verdana" w:hAnsi="Verdana"/>
          <w:color w:val="232323"/>
          <w:sz w:val="21"/>
          <w:szCs w:val="21"/>
        </w:rPr>
        <w:t>Согласно ст. 92 ТК нормальная продолжительность рабочего времени сокращается на 4 часа в неделю и более для работников, занятых на работах с вредными и (или) опасными условиями труда, в порядке, установленном Правительством Российской Федерации. Рабочее время сокращается в те дни, когда работники фактически заняты во вредных условиях труда для данного производства, цеха, профессии или должности. Право на сокращенное рабочее время в связи с вредными условиями труда сохраняется за работниками при совмещении ими профессий (должностей) независимо от того, установлено ли сокращенное рабочее время по совмещаемым профессиям (должностям), если они выполняют свою основную работу в полном объеме.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proofErr w:type="gramStart"/>
      <w:r>
        <w:rPr>
          <w:rFonts w:ascii="Verdana" w:hAnsi="Verdana"/>
          <w:color w:val="232323"/>
          <w:sz w:val="21"/>
          <w:szCs w:val="21"/>
        </w:rPr>
        <w:t>Согласно ст. 117 ТК ежегодный дополнительный оплачиваемый отпуск предоставляется работникам, занятым на работах с вредными и (или) опасными условиями труда (на подземных горных работах и открытых горных работах, в разрезах и карьерах, в зонах радиоактивного заражения, на других работах), связанных с неустранимым неблагоприятным воздействием на здоровье человека вредных физических, химических, биологических и иных факторов.</w:t>
      </w:r>
      <w:proofErr w:type="gramEnd"/>
      <w:r>
        <w:rPr>
          <w:rFonts w:ascii="Verdana" w:hAnsi="Verdana"/>
          <w:color w:val="232323"/>
          <w:sz w:val="21"/>
          <w:szCs w:val="21"/>
        </w:rPr>
        <w:t xml:space="preserve"> Перечни производств, работ, профессий и должностей, работа в которых дает право на дополнительный оплачиваемый отпуск за работу с вредными и (или) опасными условиями труда, а также минимальная продолжительность этого отпуска и условия его предоставления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r>
        <w:rPr>
          <w:rFonts w:ascii="Verdana" w:hAnsi="Verdana"/>
          <w:color w:val="232323"/>
          <w:sz w:val="21"/>
          <w:szCs w:val="21"/>
        </w:rPr>
        <w:t>Трудовой кодекс предусмотрел определенные гарантии при использовании дополнительного отпуска. Так, ст. 125 ТК не допускает отзыв из отпуска работников, занятых на работах с вредными и (или) опасными условиями труда; ст. 126 ТК не допускает замену отпуска денежной компенсацией работникам, занятым на тяжелых работах и работах с вредными и (или) опасными условиями труда.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r>
        <w:rPr>
          <w:rFonts w:ascii="Verdana" w:hAnsi="Verdana"/>
          <w:color w:val="232323"/>
          <w:sz w:val="21"/>
          <w:szCs w:val="21"/>
        </w:rPr>
        <w:t xml:space="preserve">Согласно ст. 147 ТК оплата труда работников, занятых на тяжелых работах, работах с вредными и (или) опасными и иными особыми условиями труда, устанавливается в повышенном размере по сравнению с тарифными ставками </w:t>
      </w:r>
      <w:r>
        <w:rPr>
          <w:rFonts w:ascii="Verdana" w:hAnsi="Verdana"/>
          <w:color w:val="232323"/>
          <w:sz w:val="21"/>
          <w:szCs w:val="21"/>
        </w:rPr>
        <w:lastRenderedPageBreak/>
        <w:t>(окладами), которые установлены для различных видов работ с нормальными условиями труда. Повышенный размер устанавливается не ниже размеров, установленных законами и иными нормативными правовыми актами.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r>
        <w:rPr>
          <w:rFonts w:ascii="Verdana" w:hAnsi="Verdana"/>
          <w:color w:val="232323"/>
          <w:sz w:val="21"/>
          <w:szCs w:val="21"/>
        </w:rPr>
        <w:t>Согласно ст.222 ТК на работах с особо вредными условиями труда предоставляется бесплатно по установленным нормам лечебно-профилактическое питание. Нормы и условия предоставления лечебно-профилактического питания утверждаются в порядке, установленном Правительством Российской Федерации.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r>
        <w:rPr>
          <w:rFonts w:ascii="Verdana" w:hAnsi="Verdana"/>
          <w:color w:val="232323"/>
          <w:sz w:val="21"/>
          <w:szCs w:val="21"/>
        </w:rPr>
        <w:t>Досрочное назначение трудовой пенсии предусмотрено ст. 27 и 28 Федерального закона “О трудовых пенсиях в Российской Федерации”. Согласно ст. 27. “Сохранение права на досрочное назначение трудовой пенсии” трудовая пенсия по старости назначается ранее достижения возраста мужчинами 60 лет и женщинами 55 лет отдельным категориям лиц.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  <w:proofErr w:type="gramStart"/>
      <w:r>
        <w:rPr>
          <w:rFonts w:ascii="Verdana" w:hAnsi="Verdana"/>
          <w:color w:val="232323"/>
          <w:sz w:val="21"/>
          <w:szCs w:val="21"/>
        </w:rPr>
        <w:t>Право на пенсию на льготных условиях имеют работники, постоянно занятые выполнением работ, предусмотренных списками, указанными в постановлении Правительства РФ от 18 июля 2002 № 537 "О списках производств, работ, профессий и должностей,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 и списками, предусмотренными постановлением Правительства РФ от</w:t>
      </w:r>
      <w:proofErr w:type="gramEnd"/>
      <w:r>
        <w:rPr>
          <w:rFonts w:ascii="Verdana" w:hAnsi="Verdana"/>
          <w:color w:val="232323"/>
          <w:sz w:val="21"/>
          <w:szCs w:val="21"/>
        </w:rPr>
        <w:t xml:space="preserve"> 24 апреля 2003 г. №239 “О внесении изменений в пункт 1 постановления Правительства РФ от 18 июля 2002 г. №537”.</w:t>
      </w:r>
    </w:p>
    <w:p w:rsidR="00055C79" w:rsidRDefault="00055C79" w:rsidP="00055C79">
      <w:pPr>
        <w:pStyle w:val="a3"/>
        <w:spacing w:before="89" w:beforeAutospacing="0" w:after="89" w:afterAutospacing="0"/>
        <w:rPr>
          <w:rFonts w:ascii="Verdana" w:hAnsi="Verdana"/>
          <w:color w:val="232323"/>
          <w:sz w:val="21"/>
          <w:szCs w:val="21"/>
        </w:rPr>
      </w:pPr>
    </w:p>
    <w:p w:rsidR="009D23CC" w:rsidRDefault="009D23CC"/>
    <w:sectPr w:rsidR="009D23CC" w:rsidSect="009D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55C79"/>
    <w:rsid w:val="00055C79"/>
    <w:rsid w:val="009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55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2014-11-11T09:04:00Z</dcterms:created>
  <dcterms:modified xsi:type="dcterms:W3CDTF">2014-11-11T09:11:00Z</dcterms:modified>
</cp:coreProperties>
</file>