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64" w:rsidRPr="001F4864" w:rsidRDefault="001F4864" w:rsidP="001F4864">
      <w:pPr>
        <w:pStyle w:val="a3"/>
        <w:shd w:val="clear" w:color="auto" w:fill="FBFBFB"/>
        <w:spacing w:before="89" w:beforeAutospacing="0" w:after="89" w:afterAutospacing="0"/>
        <w:jc w:val="center"/>
        <w:rPr>
          <w:color w:val="232323"/>
        </w:rPr>
      </w:pPr>
      <w:r w:rsidRPr="001F4864">
        <w:rPr>
          <w:rStyle w:val="a4"/>
          <w:color w:val="232323"/>
        </w:rPr>
        <w:t>ОТВЕТСТВЕННОСТЬ ЗА НАРУШЕНИЕ ТРУДОВОГО ЗАКОНОДАТЕЛЬСТВА</w:t>
      </w:r>
      <w:r w:rsidRPr="001F4864">
        <w:rPr>
          <w:color w:val="232323"/>
        </w:rPr>
        <w:t>.</w:t>
      </w:r>
    </w:p>
    <w:p w:rsidR="001F4864" w:rsidRPr="001F4864" w:rsidRDefault="001F4864" w:rsidP="001F4864">
      <w:pPr>
        <w:pStyle w:val="a3"/>
        <w:shd w:val="clear" w:color="auto" w:fill="FBFBFB"/>
        <w:spacing w:before="89" w:beforeAutospacing="0" w:after="89" w:afterAutospacing="0"/>
        <w:jc w:val="center"/>
        <w:rPr>
          <w:color w:val="232323"/>
        </w:rPr>
      </w:pPr>
      <w:r w:rsidRPr="001F4864">
        <w:rPr>
          <w:color w:val="232323"/>
        </w:rPr>
        <w:t> </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xml:space="preserve">В соответствии со ст. 37 Конституции РФ и ст. 2 ТК РФ каждый гражданин имеет право на труд в условиях, отвечающих требованиям безопасности и гигиены. Это право подробно описано в ст. 219 ТК РФ и подкреплено гарантиями, содержащимися в ст. 220 ТК РФ. В частности, каждый работник имеет право </w:t>
      </w:r>
      <w:proofErr w:type="gramStart"/>
      <w:r w:rsidRPr="001F4864">
        <w:rPr>
          <w:color w:val="232323"/>
        </w:rPr>
        <w:t>на</w:t>
      </w:r>
      <w:proofErr w:type="gramEnd"/>
      <w:r w:rsidRPr="001F4864">
        <w:rPr>
          <w:color w:val="232323"/>
        </w:rPr>
        <w:t>:</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рабочее место, соответствующее требованиям охраны труда;</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обеспечение средствами индивидуальной и коллективной защиты в соответствии с требованиями охраны труда за счет средств работодателя;</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обучение безопасным методам и приемам труда за счет средств работодателя;</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xml:space="preserve">- запрос о проведении проверки условий и охраны труда на его рабочем месте органами государственного надзора и </w:t>
      </w:r>
      <w:proofErr w:type="gramStart"/>
      <w:r w:rsidRPr="001F4864">
        <w:rPr>
          <w:color w:val="232323"/>
        </w:rPr>
        <w:t>контроля за</w:t>
      </w:r>
      <w:proofErr w:type="gramEnd"/>
      <w:r w:rsidRPr="001F4864">
        <w:rPr>
          <w:color w:val="232323"/>
        </w:rPr>
        <w:t xml:space="preserve"> соблюдением законодательства о труде и об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об охране труда;</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обращение в государственные и муниципальные органы власти,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компенсации, установленные законом, коллективным договором, соглашением, трудовым договором, если он занят на тяжелых работах и работах с вредными и (или) опасными условиями труда.</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Согласно ст. 11 ТК РФ все работодатели независимо от их организационно-правовых форм и форм собственности обязаны руководствоваться положениями трудового законодательства.</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xml:space="preserve">В соответствии с </w:t>
      </w:r>
      <w:proofErr w:type="gramStart"/>
      <w:r w:rsidRPr="001F4864">
        <w:rPr>
          <w:color w:val="232323"/>
        </w:rPr>
        <w:t>ч</w:t>
      </w:r>
      <w:proofErr w:type="gramEnd"/>
      <w:r w:rsidRPr="001F4864">
        <w:rPr>
          <w:color w:val="232323"/>
        </w:rPr>
        <w:t xml:space="preserve">. 3 ст. 226 ТК РФ работодатель обязан направлять не менее 0,2% от затрат на типовые мероприятия по улучшению условий труда и снижению профессиональных рисков. </w:t>
      </w:r>
      <w:r w:rsidRPr="001F4864">
        <w:rPr>
          <w:color w:val="000000"/>
          <w:shd w:val="clear" w:color="auto" w:fill="FFFFFF"/>
        </w:rPr>
        <w:t xml:space="preserve">Мероприятия, траты на которые засчитываются работодателю, установлены Типовым перечнем, который утвержден приказом </w:t>
      </w:r>
      <w:proofErr w:type="spellStart"/>
      <w:r w:rsidRPr="001F4864">
        <w:rPr>
          <w:color w:val="000000"/>
          <w:shd w:val="clear" w:color="auto" w:fill="FFFFFF"/>
        </w:rPr>
        <w:t>Минздравсоцразвития</w:t>
      </w:r>
      <w:proofErr w:type="spellEnd"/>
      <w:r w:rsidRPr="001F4864">
        <w:rPr>
          <w:color w:val="000000"/>
          <w:shd w:val="clear" w:color="auto" w:fill="FFFFFF"/>
        </w:rPr>
        <w:t xml:space="preserve"> России от 01.03.12 № 181н.</w:t>
      </w:r>
      <w:r w:rsidRPr="001F4864">
        <w:rPr>
          <w:color w:val="232323"/>
        </w:rPr>
        <w:t xml:space="preserve"> – всего их 31.</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xml:space="preserve">Непосредственное влияние на эффективность использования трудовых ресурсов и рост производительности оказывает состояние охраны труда. Уголовно-правовая охрана отношений в сфере охраны труда реализована в ст. 143 УК РФ. В связи с принятием </w:t>
      </w:r>
      <w:r w:rsidRPr="001F4864">
        <w:rPr>
          <w:color w:val="232323"/>
        </w:rPr>
        <w:lastRenderedPageBreak/>
        <w:t>Федерального Закона «О специальной оценке условий труда» ст. 143 УК РФ была изложена в новой редакции.</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На данный момент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наказывается штрафом в размере до 400 тыс. руб. или в размере зарплаты или иного дохода осужденного за период до 18 месяцев, либо обязательными работами на срок от 180 до 240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на срок до одного года или без такового.</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xml:space="preserve">Если нарушение требований охраны труда повлекло по неосторожности смерть человека, то виновному грозят принудительные работы на срок до 4 </w:t>
      </w:r>
      <w:proofErr w:type="gramStart"/>
      <w:r w:rsidRPr="001F4864">
        <w:rPr>
          <w:color w:val="232323"/>
        </w:rPr>
        <w:t>лет</w:t>
      </w:r>
      <w:proofErr w:type="gramEnd"/>
      <w:r w:rsidRPr="001F4864">
        <w:rPr>
          <w:color w:val="232323"/>
        </w:rPr>
        <w:t xml:space="preserve"> либо лишение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В случае наступления по неосторожности смерти двух или более лиц предусмотрено наказание в виде принудительных работ на срок до 5 лет либо лишение свободы на тот же срок с лишением права занимать определенные должности на срок до 3 лет или без такового.</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Под требованиями охраны труда в рассматриваемой статье понимаются государственные нормативные требования охраны труда, содержащиеся в федеральных законах, законах и иных нормативно-правовых актах субъектов РФ.</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xml:space="preserve">Вместе с УК РФ претерпел изменения и </w:t>
      </w:r>
      <w:proofErr w:type="spellStart"/>
      <w:r w:rsidRPr="001F4864">
        <w:rPr>
          <w:color w:val="232323"/>
        </w:rPr>
        <w:t>КоАП</w:t>
      </w:r>
      <w:proofErr w:type="spellEnd"/>
      <w:r w:rsidRPr="001F4864">
        <w:rPr>
          <w:color w:val="232323"/>
        </w:rPr>
        <w:t xml:space="preserve"> РФ. Так, согласно ст. 5.27 </w:t>
      </w:r>
      <w:proofErr w:type="spellStart"/>
      <w:r w:rsidRPr="001F4864">
        <w:rPr>
          <w:color w:val="232323"/>
        </w:rPr>
        <w:t>КоАП</w:t>
      </w:r>
      <w:proofErr w:type="spellEnd"/>
      <w:r w:rsidRPr="001F4864">
        <w:rPr>
          <w:color w:val="232323"/>
        </w:rPr>
        <w:t xml:space="preserve"> РФ нарушение трудового законодательства и иных нормативных правовых актов, содержащих нормы трудового права, влечет предупреждение или наложение штрафа на должностных лиц в размере от 1 тыс. до 5 тыс. руб.; на предпринимателей – от 1 тыс. до 5 тыс. руб.; на юридических лиц – от 30 тыс. до 50 тыс. руб.</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xml:space="preserve">В соответствии со ст. 5.27.1 </w:t>
      </w:r>
      <w:proofErr w:type="spellStart"/>
      <w:r w:rsidRPr="001F4864">
        <w:rPr>
          <w:color w:val="232323"/>
        </w:rPr>
        <w:t>КоАП</w:t>
      </w:r>
      <w:proofErr w:type="spellEnd"/>
      <w:r w:rsidRPr="001F4864">
        <w:rPr>
          <w:color w:val="232323"/>
        </w:rPr>
        <w:t xml:space="preserve"> РФ нарушение государственных нормативных требований охраны труда, содержащихся в федеральных законах и иных нормативно-правовых актах РФ, влечет предупреждение или наложение штрафа на должностных лиц в размере от 2 тыс. до 5 тыс. руб.; на предпринимателей – от 2 тыс. до 5 тыс. руб.; на </w:t>
      </w:r>
      <w:proofErr w:type="spellStart"/>
      <w:r w:rsidRPr="001F4864">
        <w:rPr>
          <w:color w:val="232323"/>
        </w:rPr>
        <w:t>юрлиц</w:t>
      </w:r>
      <w:proofErr w:type="spellEnd"/>
      <w:r w:rsidRPr="001F4864">
        <w:rPr>
          <w:color w:val="232323"/>
        </w:rPr>
        <w:t xml:space="preserve"> – от 50 тыс. до 80 тыс. руб.</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Нарушение работодателем установленного порядка проведения специальной оценки условий труда на рабочих местах или ее непроведение влечет предупреждение или наложение штрафа на должностных лиц в размере от 5 тыс. до 10 тыс. руб.; на предпринимателей – от 5 тыс. до 10 тыс. руб.; на юридических лиц – от 60 тыс. до 80 тыс. руб.</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медосмотров в начале рабочего дня (смены), обязательных психиатрических освидетельствований или при наличии медицинских противопоказаний влечет наложение штрафа на должностных лиц в размере от 15 тыс. до 25 тыс. руб.; на предпринимателей – от 15 тыс. до 25 тыс. руб.; на юридических лиц – от 110 тыс. до 130 тыс. руб.</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xml:space="preserve">За </w:t>
      </w:r>
      <w:proofErr w:type="spellStart"/>
      <w:r w:rsidRPr="001F4864">
        <w:rPr>
          <w:color w:val="232323"/>
        </w:rPr>
        <w:t>необеспечение</w:t>
      </w:r>
      <w:proofErr w:type="spellEnd"/>
      <w:r w:rsidRPr="001F4864">
        <w:rPr>
          <w:color w:val="232323"/>
        </w:rPr>
        <w:t xml:space="preserve"> работников средствами индивидуальной защиты грозит штраф: для должностных лиц – в размере от 20 тыс. до 30 тыс. руб.; предпринимателей – от 20 тыс. до 30 тыс. руб.; для юридических лиц – от 130 тыс. до 150 тыс. руб. Под средствами индивидуальной защиты следует понимать средства индивидуальной защиты, отнесенные </w:t>
      </w:r>
      <w:r w:rsidRPr="001F4864">
        <w:rPr>
          <w:color w:val="232323"/>
        </w:rPr>
        <w:lastRenderedPageBreak/>
        <w:t>техническим регламентом Таможенного союза «О безопасности средств индивидуальной защиты» ко второму классу в зависимости от степени риска причинения вреда работнику.</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В случае повторного совершения перечисленных административных правонарушений виновному должностному лицу грозит штраф в размере от 30 тыс. до 40 тыс. руб. или дисквалификация на срок от одного года до трех лет; предпринимателю – от 30 тыс. до 40 тыс. руб. или приостановление деятельности на срок до 90 суток; юридическому лицу – от 100 тыс. до 200 тыс. руб. или приостановление деятельности на срок до 90 суток.</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 xml:space="preserve">Согласно </w:t>
      </w:r>
      <w:proofErr w:type="gramStart"/>
      <w:r w:rsidRPr="001F4864">
        <w:rPr>
          <w:color w:val="232323"/>
        </w:rPr>
        <w:t>ч</w:t>
      </w:r>
      <w:proofErr w:type="gramEnd"/>
      <w:r w:rsidRPr="001F4864">
        <w:rPr>
          <w:color w:val="232323"/>
        </w:rPr>
        <w:t xml:space="preserve">. 2.3 ст. 19.5 </w:t>
      </w:r>
      <w:proofErr w:type="spellStart"/>
      <w:r w:rsidRPr="001F4864">
        <w:rPr>
          <w:color w:val="232323"/>
        </w:rPr>
        <w:t>КоАП</w:t>
      </w:r>
      <w:proofErr w:type="spellEnd"/>
      <w:r w:rsidRPr="001F4864">
        <w:rPr>
          <w:color w:val="232323"/>
        </w:rPr>
        <w:t xml:space="preserve"> РФ невыполнение в установленный срок или ненадлежащее выполнение законного предписания инспектора </w:t>
      </w:r>
      <w:proofErr w:type="spellStart"/>
      <w:r w:rsidRPr="001F4864">
        <w:rPr>
          <w:color w:val="232323"/>
        </w:rPr>
        <w:t>Роструда</w:t>
      </w:r>
      <w:proofErr w:type="spellEnd"/>
      <w:r w:rsidRPr="001F4864">
        <w:rPr>
          <w:color w:val="232323"/>
        </w:rPr>
        <w:t xml:space="preserve"> влечет наложение штрафа на должностных лиц в размере от 30 тыс. до 50 тыс. руб. или дисквалификацию на срок от одного года до трех лет; на предпринимателей – от 30 тыс. до 50 тыс. руб.; на юридических лиц – от 100 тыс. до 200 тыс. руб.</w:t>
      </w:r>
    </w:p>
    <w:p w:rsidR="001F4864" w:rsidRPr="001F4864" w:rsidRDefault="001F4864" w:rsidP="001F4864">
      <w:pPr>
        <w:pStyle w:val="a3"/>
        <w:shd w:val="clear" w:color="auto" w:fill="FBFBFB"/>
        <w:spacing w:before="89" w:beforeAutospacing="0" w:after="89" w:afterAutospacing="0"/>
        <w:rPr>
          <w:color w:val="232323"/>
        </w:rPr>
      </w:pPr>
      <w:r w:rsidRPr="001F4864">
        <w:rPr>
          <w:color w:val="232323"/>
        </w:rPr>
        <w:t>В соответствии с  Федеральным законом от 02.12.2013 г. №331-ФЗ «О внесении изменений в статью 11 Федерального закона "Об обязательном социальном страховании от несчастных случаев на производстве и профессиональных заболеваний"» с 1 января 2014 года семьи погибших на производстве в результате несчастного случая будут получать 1 млн. руб. В прошлом году размер выплаты составлял всего 76,7 тыс. руб. Сумма выплаты будет одинаковой для жителей всех регионов, районные коэффициенты и процентные надбавки на нее накручиваться не будут.</w:t>
      </w:r>
    </w:p>
    <w:p w:rsidR="00CD5637" w:rsidRPr="001F4864" w:rsidRDefault="00CD5637">
      <w:pPr>
        <w:rPr>
          <w:rFonts w:ascii="Times New Roman" w:hAnsi="Times New Roman" w:cs="Times New Roman"/>
        </w:rPr>
      </w:pPr>
    </w:p>
    <w:sectPr w:rsidR="00CD5637" w:rsidRPr="001F4864" w:rsidSect="00CD5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F4864"/>
    <w:rsid w:val="001F4864"/>
    <w:rsid w:val="005112A0"/>
    <w:rsid w:val="00CB6AA7"/>
    <w:rsid w:val="00CD5637"/>
    <w:rsid w:val="00E75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864"/>
    <w:rPr>
      <w:b/>
      <w:bCs/>
    </w:rPr>
  </w:style>
</w:styles>
</file>

<file path=word/webSettings.xml><?xml version="1.0" encoding="utf-8"?>
<w:webSettings xmlns:r="http://schemas.openxmlformats.org/officeDocument/2006/relationships" xmlns:w="http://schemas.openxmlformats.org/wordprocessingml/2006/main">
  <w:divs>
    <w:div w:id="5494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2014-11-11T08:44:00Z</dcterms:created>
  <dcterms:modified xsi:type="dcterms:W3CDTF">2014-11-11T09:34:00Z</dcterms:modified>
</cp:coreProperties>
</file>